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FA" w:rsidRDefault="00FA5754">
      <w:r>
        <w:rPr>
          <w:noProof/>
          <w:lang w:eastAsia="hu-HU"/>
        </w:rPr>
        <w:drawing>
          <wp:inline distT="0" distB="0" distL="0" distR="0" wp14:anchorId="648041F2" wp14:editId="6275243A">
            <wp:extent cx="5295900" cy="4276725"/>
            <wp:effectExtent l="0" t="0" r="0" b="9525"/>
            <wp:docPr id="1" name="Kép 1" descr="Képtalálat a következőre: „kamerával megfigyelt terület tábla nyomtathat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kamerával megfigyelt terület tábla nyomtathat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4276725"/>
                    </a:xfrm>
                    <a:prstGeom prst="rect">
                      <a:avLst/>
                    </a:prstGeom>
                    <a:noFill/>
                    <a:ln>
                      <a:noFill/>
                    </a:ln>
                  </pic:spPr>
                </pic:pic>
              </a:graphicData>
            </a:graphic>
          </wp:inline>
        </w:drawing>
      </w:r>
    </w:p>
    <w:p w:rsidR="00FA5754" w:rsidRDefault="00FA5754"/>
    <w:p w:rsidR="00FA5754" w:rsidRPr="00D4712D" w:rsidRDefault="00FA5754" w:rsidP="00D4712D">
      <w:pPr>
        <w:pStyle w:val="Cmsor1"/>
        <w:jc w:val="both"/>
        <w:rPr>
          <w:rFonts w:ascii="Times New Roman" w:eastAsia="Times New Roman" w:hAnsi="Times New Roman" w:cs="Times New Roman"/>
          <w:b w:val="0"/>
          <w:color w:val="000000" w:themeColor="text1"/>
          <w:kern w:val="36"/>
          <w:lang w:eastAsia="hu-HU"/>
        </w:rPr>
      </w:pPr>
      <w:proofErr w:type="gramStart"/>
      <w:r w:rsidRPr="00D4712D">
        <w:rPr>
          <w:rFonts w:ascii="Times New Roman" w:hAnsi="Times New Roman" w:cs="Times New Roman"/>
          <w:b w:val="0"/>
          <w:color w:val="000000" w:themeColor="text1"/>
        </w:rPr>
        <w:t>A Fővárosi Katasztrófavédelmi Igazgatóság – mint adatkezelő szerv – az Európai parlament és a Tanács a természetes személyeknek a személyes adatok kezelése tekintetében történő védelméről és az ilyen adatok szabad áramlásáról, valamint a 95/46/EK rendelet hatályon kívül helyezéséről szóló (EU) 2016/679 rendelete (</w:t>
      </w:r>
      <w:r w:rsidR="00D4712D">
        <w:rPr>
          <w:rFonts w:ascii="Times New Roman" w:hAnsi="Times New Roman" w:cs="Times New Roman"/>
          <w:b w:val="0"/>
          <w:color w:val="000000" w:themeColor="text1"/>
        </w:rPr>
        <w:t xml:space="preserve">a továbbiakban: </w:t>
      </w:r>
      <w:r w:rsidRPr="00D4712D">
        <w:rPr>
          <w:rFonts w:ascii="Times New Roman" w:hAnsi="Times New Roman" w:cs="Times New Roman"/>
          <w:b w:val="0"/>
          <w:color w:val="000000" w:themeColor="text1"/>
        </w:rPr>
        <w:t xml:space="preserve">GDPR) 6. cikk (1) bekezdés e) pontja, valamint </w:t>
      </w:r>
      <w:r w:rsidRPr="00D4712D">
        <w:rPr>
          <w:rFonts w:ascii="Times New Roman" w:eastAsia="Times New Roman" w:hAnsi="Times New Roman" w:cs="Times New Roman"/>
          <w:b w:val="0"/>
          <w:color w:val="000000" w:themeColor="text1"/>
          <w:kern w:val="36"/>
          <w:lang w:eastAsia="hu-HU"/>
        </w:rPr>
        <w:t>a katasztrófavédelemről és a hozzá kapcsolódó egyes törvények módosításáról szóló 2011. évi CXXVIII. törvény 79/A.</w:t>
      </w:r>
      <w:proofErr w:type="gramEnd"/>
      <w:r w:rsidRPr="00D4712D">
        <w:rPr>
          <w:rFonts w:ascii="Times New Roman" w:eastAsia="Times New Roman" w:hAnsi="Times New Roman" w:cs="Times New Roman"/>
          <w:b w:val="0"/>
          <w:color w:val="000000" w:themeColor="text1"/>
          <w:kern w:val="36"/>
          <w:lang w:eastAsia="hu-HU"/>
        </w:rPr>
        <w:t xml:space="preserve"> § (2) bekezdés a)</w:t>
      </w:r>
      <w:r w:rsidR="00D4712D">
        <w:rPr>
          <w:rFonts w:ascii="Times New Roman" w:eastAsia="Times New Roman" w:hAnsi="Times New Roman" w:cs="Times New Roman"/>
          <w:b w:val="0"/>
          <w:color w:val="000000" w:themeColor="text1"/>
          <w:kern w:val="36"/>
          <w:lang w:eastAsia="hu-HU"/>
        </w:rPr>
        <w:t>—</w:t>
      </w:r>
      <w:r w:rsidRPr="00D4712D">
        <w:rPr>
          <w:rFonts w:ascii="Times New Roman" w:eastAsia="Times New Roman" w:hAnsi="Times New Roman" w:cs="Times New Roman"/>
          <w:b w:val="0"/>
          <w:color w:val="000000" w:themeColor="text1"/>
          <w:kern w:val="36"/>
          <w:lang w:eastAsia="hu-HU"/>
        </w:rPr>
        <w:t xml:space="preserve">b) pontja alapján a katasztrófavédelem kezelésében lévő létesítmények területét határoló külső falakon és a kapuknál képfelvevőt helyezett el, és felvételt készít. A képfelvételt az adatkezelő szerv a képfelvétel készítésétől számított 30 napig őrzi meg. </w:t>
      </w:r>
      <w:r w:rsidR="00D4712D">
        <w:rPr>
          <w:rFonts w:ascii="Times New Roman" w:eastAsia="Times New Roman" w:hAnsi="Times New Roman" w:cs="Times New Roman"/>
          <w:b w:val="0"/>
          <w:color w:val="000000" w:themeColor="text1"/>
          <w:kern w:val="36"/>
          <w:lang w:eastAsia="hu-HU"/>
        </w:rPr>
        <w:t xml:space="preserve"> </w:t>
      </w:r>
    </w:p>
    <w:p w:rsidR="00FA5754" w:rsidRPr="00D4712D" w:rsidRDefault="00FA5754" w:rsidP="00D4712D">
      <w:pPr>
        <w:pStyle w:val="Cmsor1"/>
        <w:jc w:val="both"/>
        <w:rPr>
          <w:rFonts w:ascii="Times New Roman" w:eastAsia="Times New Roman" w:hAnsi="Times New Roman" w:cs="Times New Roman"/>
          <w:b w:val="0"/>
          <w:color w:val="000000" w:themeColor="text1"/>
          <w:kern w:val="36"/>
          <w:lang w:eastAsia="hu-HU"/>
        </w:rPr>
      </w:pPr>
      <w:r w:rsidRPr="00D4712D">
        <w:rPr>
          <w:rFonts w:ascii="Times New Roman" w:eastAsia="Times New Roman" w:hAnsi="Times New Roman" w:cs="Times New Roman"/>
          <w:b w:val="0"/>
          <w:color w:val="000000" w:themeColor="text1"/>
          <w:kern w:val="36"/>
          <w:lang w:eastAsia="hu-HU"/>
        </w:rPr>
        <w:t xml:space="preserve">Az adatok kezelésével összefüggő, a GDPR 13. cikk (1) </w:t>
      </w:r>
      <w:r w:rsidR="00D4712D" w:rsidRPr="00D4712D">
        <w:rPr>
          <w:rFonts w:ascii="Times New Roman" w:eastAsia="Times New Roman" w:hAnsi="Times New Roman" w:cs="Times New Roman"/>
          <w:b w:val="0"/>
          <w:color w:val="000000" w:themeColor="text1"/>
          <w:kern w:val="36"/>
          <w:lang w:eastAsia="hu-HU"/>
        </w:rPr>
        <w:t>bekezdés szerinti tájékoztató az FKI honlapján, az Adatkezelési tájékoztatóban érhető el.</w:t>
      </w:r>
      <w:r w:rsidRPr="00D4712D">
        <w:rPr>
          <w:rFonts w:ascii="Times New Roman" w:eastAsia="Times New Roman" w:hAnsi="Times New Roman" w:cs="Times New Roman"/>
          <w:b w:val="0"/>
          <w:color w:val="000000" w:themeColor="text1"/>
          <w:kern w:val="36"/>
          <w:lang w:eastAsia="hu-HU"/>
        </w:rPr>
        <w:t xml:space="preserve"> </w:t>
      </w:r>
    </w:p>
    <w:p w:rsidR="00FA5754" w:rsidRDefault="00FA5754">
      <w:pPr>
        <w:rPr>
          <w:rFonts w:ascii="Times New Roman" w:hAnsi="Times New Roman" w:cs="Times New Roman"/>
          <w:sz w:val="24"/>
          <w:szCs w:val="24"/>
        </w:rPr>
      </w:pPr>
    </w:p>
    <w:p w:rsidR="00D4712D" w:rsidRDefault="00D4712D">
      <w:pPr>
        <w:rPr>
          <w:rFonts w:ascii="Times New Roman" w:hAnsi="Times New Roman" w:cs="Times New Roman"/>
          <w:sz w:val="24"/>
          <w:szCs w:val="24"/>
        </w:rPr>
      </w:pPr>
    </w:p>
    <w:p w:rsidR="00D4712D" w:rsidRDefault="00D4712D">
      <w:pPr>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3"/>
        <w:gridCol w:w="6218"/>
      </w:tblGrid>
      <w:tr w:rsidR="00D4712D" w:rsidTr="00052EBF">
        <w:trPr>
          <w:trHeight w:val="411"/>
        </w:trPr>
        <w:tc>
          <w:tcPr>
            <w:tcW w:w="2843" w:type="dxa"/>
            <w:vAlign w:val="center"/>
          </w:tcPr>
          <w:p w:rsidR="00D4712D" w:rsidRDefault="00D4712D" w:rsidP="00052EBF">
            <w:pPr>
              <w:jc w:val="center"/>
            </w:pPr>
            <w:r>
              <w:lastRenderedPageBreak/>
              <w:t>Adatkezelő szerv</w:t>
            </w:r>
          </w:p>
        </w:tc>
        <w:tc>
          <w:tcPr>
            <w:tcW w:w="6218" w:type="dxa"/>
          </w:tcPr>
          <w:p w:rsidR="00D4712D" w:rsidRDefault="00D4712D" w:rsidP="00052EBF">
            <w:pPr>
              <w:jc w:val="center"/>
            </w:pPr>
            <w:r>
              <w:t>Fővárosi Katasztrófavédelmi Igazgatóság (a továbbiakban: FKI)</w:t>
            </w:r>
          </w:p>
        </w:tc>
      </w:tr>
      <w:tr w:rsidR="00D4712D" w:rsidTr="00052EBF">
        <w:trPr>
          <w:trHeight w:val="602"/>
        </w:trPr>
        <w:tc>
          <w:tcPr>
            <w:tcW w:w="2843" w:type="dxa"/>
            <w:vAlign w:val="center"/>
          </w:tcPr>
          <w:p w:rsidR="00D4712D" w:rsidRDefault="00D4712D" w:rsidP="00052EBF">
            <w:pPr>
              <w:jc w:val="center"/>
            </w:pPr>
            <w:r>
              <w:t>Adatkezelés megnevezése</w:t>
            </w:r>
          </w:p>
        </w:tc>
        <w:tc>
          <w:tcPr>
            <w:tcW w:w="6218" w:type="dxa"/>
          </w:tcPr>
          <w:p w:rsidR="00D4712D" w:rsidRDefault="00D4712D" w:rsidP="00052EBF">
            <w:pPr>
              <w:jc w:val="center"/>
            </w:pPr>
            <w:r>
              <w:t>Objektumvédelmi kamerarendszer működtetése</w:t>
            </w:r>
          </w:p>
        </w:tc>
      </w:tr>
      <w:tr w:rsidR="00D4712D" w:rsidTr="00052EBF">
        <w:trPr>
          <w:trHeight w:val="892"/>
        </w:trPr>
        <w:tc>
          <w:tcPr>
            <w:tcW w:w="2843" w:type="dxa"/>
            <w:vAlign w:val="center"/>
          </w:tcPr>
          <w:p w:rsidR="00D4712D" w:rsidRDefault="00D4712D" w:rsidP="00052EBF">
            <w:pPr>
              <w:jc w:val="center"/>
            </w:pPr>
            <w:r>
              <w:t>Adatkezelés jogalapja</w:t>
            </w:r>
          </w:p>
        </w:tc>
        <w:tc>
          <w:tcPr>
            <w:tcW w:w="6218" w:type="dxa"/>
            <w:vAlign w:val="center"/>
          </w:tcPr>
          <w:p w:rsidR="00D4712D" w:rsidRDefault="00D4712D" w:rsidP="00052EBF">
            <w:pPr>
              <w:jc w:val="center"/>
            </w:pPr>
            <w:r>
              <w:t>Az FKI székhelye belső és külső rendjének, jogszerű működésének védelme, illetve az ott tartózkodók biztonságának garantálása</w:t>
            </w:r>
          </w:p>
        </w:tc>
      </w:tr>
      <w:tr w:rsidR="00D4712D" w:rsidTr="00052EBF">
        <w:trPr>
          <w:trHeight w:val="892"/>
        </w:trPr>
        <w:tc>
          <w:tcPr>
            <w:tcW w:w="2843" w:type="dxa"/>
            <w:vAlign w:val="center"/>
          </w:tcPr>
          <w:p w:rsidR="00D4712D" w:rsidRDefault="00D4712D" w:rsidP="00052EBF">
            <w:pPr>
              <w:jc w:val="center"/>
            </w:pPr>
            <w:r>
              <w:t>Adatkezelés jogalapja</w:t>
            </w:r>
          </w:p>
        </w:tc>
        <w:tc>
          <w:tcPr>
            <w:tcW w:w="6218" w:type="dxa"/>
          </w:tcPr>
          <w:p w:rsidR="00D4712D" w:rsidRDefault="00D4712D" w:rsidP="00052EBF">
            <w:pPr>
              <w:pStyle w:val="Listaszerbekezds"/>
              <w:ind w:left="214" w:hanging="142"/>
              <w:jc w:val="both"/>
            </w:pPr>
            <w:r>
              <w:t xml:space="preserve">1.Az Európai Parlament és a Tanács a természetes személyeknek a személyes adatok kezelése tekintetében történő védelméről és az ilyen adatok szabad áramlásáról, valamint a 95/46/EK rendelet hatályon kívül helyezéséről szóló (EU) 2016/79 rendelete (a továbbiakban: GDPR) 6. cikk (1) bekezdés e) pontja. </w:t>
            </w:r>
          </w:p>
          <w:p w:rsidR="00D4712D" w:rsidRDefault="00D4712D" w:rsidP="00052EBF">
            <w:pPr>
              <w:pStyle w:val="Listaszerbekezds"/>
              <w:ind w:left="214" w:hanging="142"/>
              <w:jc w:val="both"/>
            </w:pPr>
            <w:r>
              <w:t>2.A katasztrófavédelemről és a hozzá kapcsolódó egyes törvények módosításáról szóló 2011. évi CXXVIII. törvény 79/</w:t>
            </w:r>
            <w:proofErr w:type="gramStart"/>
            <w:r>
              <w:t>A</w:t>
            </w:r>
            <w:proofErr w:type="gramEnd"/>
            <w:r>
              <w:t>.§ (2) bekezdés a)—b)pontja.</w:t>
            </w:r>
          </w:p>
          <w:p w:rsidR="00D4712D" w:rsidRDefault="00D4712D" w:rsidP="00052EBF">
            <w:pPr>
              <w:pStyle w:val="Listaszerbekezds"/>
              <w:ind w:left="214" w:hanging="142"/>
              <w:jc w:val="both"/>
            </w:pPr>
            <w:r>
              <w:t>3.A rendvédelmi feladatokat ellátó szervek hivatásos állományának szolgálati jogviszonyáról szóló 2015. évi XLII. törvény 104.§ (1) bekezdése.</w:t>
            </w:r>
          </w:p>
          <w:p w:rsidR="00D4712D" w:rsidRDefault="00D4712D" w:rsidP="00052EBF">
            <w:pPr>
              <w:pStyle w:val="Listaszerbekezds"/>
              <w:ind w:left="214" w:hanging="142"/>
              <w:jc w:val="both"/>
            </w:pPr>
            <w:r>
              <w:t>4.A munka törvénykönyvéről szóló 2012. évi I. törvény 11/</w:t>
            </w:r>
            <w:proofErr w:type="gramStart"/>
            <w:r>
              <w:t>A</w:t>
            </w:r>
            <w:proofErr w:type="gramEnd"/>
            <w:r>
              <w:t>.§ (1) bekezdése.</w:t>
            </w:r>
          </w:p>
        </w:tc>
      </w:tr>
      <w:tr w:rsidR="00D4712D" w:rsidTr="00052EBF">
        <w:trPr>
          <w:trHeight w:val="892"/>
        </w:trPr>
        <w:tc>
          <w:tcPr>
            <w:tcW w:w="2843" w:type="dxa"/>
            <w:vAlign w:val="center"/>
          </w:tcPr>
          <w:p w:rsidR="00D4712D" w:rsidRDefault="00D4712D" w:rsidP="00052EBF">
            <w:pPr>
              <w:jc w:val="center"/>
            </w:pPr>
            <w:r>
              <w:t>Érintettek kategóriái</w:t>
            </w:r>
          </w:p>
        </w:tc>
        <w:tc>
          <w:tcPr>
            <w:tcW w:w="6218" w:type="dxa"/>
          </w:tcPr>
          <w:p w:rsidR="00D4712D" w:rsidRDefault="00D4712D" w:rsidP="00052EBF">
            <w:r>
              <w:t>Az FKI székhelyében</w:t>
            </w:r>
          </w:p>
          <w:p w:rsidR="00D4712D" w:rsidRDefault="00D4712D" w:rsidP="00D4712D">
            <w:pPr>
              <w:pStyle w:val="Listaszerbekezds"/>
              <w:numPr>
                <w:ilvl w:val="0"/>
                <w:numId w:val="1"/>
              </w:numPr>
              <w:ind w:left="356" w:hanging="284"/>
            </w:pPr>
            <w:r>
              <w:t>állandó belépési engedéllyel (kártya) rendelkező személyek,</w:t>
            </w:r>
          </w:p>
          <w:p w:rsidR="00D4712D" w:rsidRDefault="00D4712D" w:rsidP="00D4712D">
            <w:pPr>
              <w:pStyle w:val="Listaszerbekezds"/>
              <w:numPr>
                <w:ilvl w:val="0"/>
                <w:numId w:val="1"/>
              </w:numPr>
              <w:ind w:left="356" w:hanging="284"/>
            </w:pPr>
            <w:r>
              <w:t>napi belépési engedéllyel rendelkező személyek,</w:t>
            </w:r>
          </w:p>
          <w:p w:rsidR="00D4712D" w:rsidRDefault="00D4712D" w:rsidP="00D4712D">
            <w:pPr>
              <w:pStyle w:val="Listaszerbekezds"/>
              <w:numPr>
                <w:ilvl w:val="0"/>
                <w:numId w:val="1"/>
              </w:numPr>
              <w:ind w:left="356" w:hanging="284"/>
            </w:pPr>
            <w:r>
              <w:t>igazgatásrendészeti ügyintézéscéljából érkező személyek,</w:t>
            </w:r>
          </w:p>
          <w:p w:rsidR="00D4712D" w:rsidRDefault="00D4712D" w:rsidP="00D4712D">
            <w:pPr>
              <w:pStyle w:val="Listaszerbekezds"/>
              <w:numPr>
                <w:ilvl w:val="0"/>
                <w:numId w:val="1"/>
              </w:numPr>
              <w:ind w:left="356" w:hanging="284"/>
            </w:pPr>
            <w:r>
              <w:t>kulcsdoboz felvételére jogosult személyek,</w:t>
            </w:r>
          </w:p>
          <w:p w:rsidR="00D4712D" w:rsidRDefault="00D4712D" w:rsidP="00D4712D">
            <w:pPr>
              <w:pStyle w:val="Listaszerbekezds"/>
              <w:numPr>
                <w:ilvl w:val="0"/>
                <w:numId w:val="1"/>
              </w:numPr>
              <w:ind w:left="356" w:hanging="284"/>
            </w:pPr>
            <w:r>
              <w:t>ügyfélszolgálati irodára érkező személyek,</w:t>
            </w:r>
          </w:p>
          <w:p w:rsidR="00D4712D" w:rsidRDefault="00D4712D" w:rsidP="00D4712D">
            <w:pPr>
              <w:pStyle w:val="Listaszerbekezds"/>
              <w:numPr>
                <w:ilvl w:val="0"/>
                <w:numId w:val="1"/>
              </w:numPr>
              <w:ind w:left="356" w:hanging="284"/>
            </w:pPr>
            <w:r>
              <w:t>parkolást igénybe vevő személyek,</w:t>
            </w:r>
          </w:p>
          <w:p w:rsidR="00D4712D" w:rsidRDefault="00D4712D" w:rsidP="00D4712D">
            <w:pPr>
              <w:pStyle w:val="Listaszerbekezds"/>
              <w:numPr>
                <w:ilvl w:val="0"/>
                <w:numId w:val="1"/>
              </w:numPr>
              <w:ind w:left="356" w:hanging="284"/>
            </w:pPr>
            <w:r>
              <w:t>garázsból gépjárművel közlekedő személyek,</w:t>
            </w:r>
          </w:p>
          <w:p w:rsidR="00D4712D" w:rsidRDefault="00D4712D" w:rsidP="00D4712D">
            <w:pPr>
              <w:pStyle w:val="Listaszerbekezds"/>
              <w:numPr>
                <w:ilvl w:val="0"/>
                <w:numId w:val="1"/>
              </w:numPr>
              <w:ind w:left="356" w:hanging="284"/>
            </w:pPr>
            <w:r>
              <w:t>kültéri kamera látószögébe került személyek.</w:t>
            </w:r>
          </w:p>
        </w:tc>
      </w:tr>
      <w:tr w:rsidR="00D4712D" w:rsidTr="00052EBF">
        <w:trPr>
          <w:trHeight w:val="892"/>
        </w:trPr>
        <w:tc>
          <w:tcPr>
            <w:tcW w:w="2843" w:type="dxa"/>
            <w:vAlign w:val="center"/>
          </w:tcPr>
          <w:p w:rsidR="00D4712D" w:rsidRDefault="00D4712D" w:rsidP="00052EBF">
            <w:pPr>
              <w:jc w:val="center"/>
            </w:pPr>
            <w:r>
              <w:t>Személyes adatok kategóriái</w:t>
            </w:r>
          </w:p>
        </w:tc>
        <w:tc>
          <w:tcPr>
            <w:tcW w:w="6218" w:type="dxa"/>
          </w:tcPr>
          <w:p w:rsidR="00D4712D" w:rsidRDefault="00D4712D" w:rsidP="00052EBF">
            <w:pPr>
              <w:jc w:val="center"/>
            </w:pPr>
            <w:r>
              <w:t>A kamera látóterébe kerülő személyről készült felvétel, a felvétel során tanúsított magatartása.</w:t>
            </w:r>
          </w:p>
        </w:tc>
      </w:tr>
      <w:tr w:rsidR="00D4712D" w:rsidTr="00052EBF">
        <w:trPr>
          <w:trHeight w:val="892"/>
        </w:trPr>
        <w:tc>
          <w:tcPr>
            <w:tcW w:w="2843" w:type="dxa"/>
            <w:vAlign w:val="center"/>
          </w:tcPr>
          <w:p w:rsidR="00D4712D" w:rsidRDefault="00D4712D" w:rsidP="00052EBF">
            <w:pPr>
              <w:jc w:val="center"/>
            </w:pPr>
            <w:r>
              <w:t>Címzettek</w:t>
            </w:r>
          </w:p>
        </w:tc>
        <w:tc>
          <w:tcPr>
            <w:tcW w:w="6218" w:type="dxa"/>
          </w:tcPr>
          <w:p w:rsidR="00D4712D" w:rsidRDefault="00D4712D" w:rsidP="00052EBF">
            <w:pPr>
              <w:jc w:val="center"/>
            </w:pPr>
            <w:r>
              <w:t xml:space="preserve">A készített felvétel, illetve az abban szereplő személyes adat </w:t>
            </w:r>
          </w:p>
          <w:p w:rsidR="00D4712D" w:rsidRDefault="00D4712D" w:rsidP="00D4712D">
            <w:pPr>
              <w:pStyle w:val="Listaszerbekezds"/>
              <w:numPr>
                <w:ilvl w:val="0"/>
                <w:numId w:val="2"/>
              </w:numPr>
            </w:pPr>
            <w:r>
              <w:t>hatósági eljárás lefolytatása céljából,</w:t>
            </w:r>
          </w:p>
          <w:p w:rsidR="00D4712D" w:rsidRDefault="00D4712D" w:rsidP="00D4712D">
            <w:pPr>
              <w:pStyle w:val="Listaszerbekezds"/>
              <w:numPr>
                <w:ilvl w:val="0"/>
                <w:numId w:val="2"/>
              </w:numPr>
            </w:pPr>
            <w:r>
              <w:t>az érintett személy jogainak gyakorlása érdekében az adott ügyben eljáró szerveknek, illetve az érintettnek továbbítható.</w:t>
            </w:r>
          </w:p>
        </w:tc>
      </w:tr>
      <w:tr w:rsidR="00D4712D" w:rsidTr="00052EBF">
        <w:trPr>
          <w:trHeight w:val="892"/>
        </w:trPr>
        <w:tc>
          <w:tcPr>
            <w:tcW w:w="2843" w:type="dxa"/>
            <w:vAlign w:val="center"/>
          </w:tcPr>
          <w:p w:rsidR="00D4712D" w:rsidRDefault="00D4712D" w:rsidP="00052EBF">
            <w:pPr>
              <w:jc w:val="center"/>
            </w:pPr>
            <w:r>
              <w:t>Adatfeldolgozó neve, képviselője</w:t>
            </w:r>
          </w:p>
        </w:tc>
        <w:tc>
          <w:tcPr>
            <w:tcW w:w="6218" w:type="dxa"/>
          </w:tcPr>
          <w:p w:rsidR="00D4712D" w:rsidRDefault="00D4712D" w:rsidP="00052EBF">
            <w:pPr>
              <w:jc w:val="center"/>
            </w:pPr>
            <w:r>
              <w:t>Nincs</w:t>
            </w:r>
          </w:p>
        </w:tc>
      </w:tr>
      <w:tr w:rsidR="00D4712D" w:rsidTr="00052EBF">
        <w:trPr>
          <w:trHeight w:val="892"/>
        </w:trPr>
        <w:tc>
          <w:tcPr>
            <w:tcW w:w="2843" w:type="dxa"/>
            <w:vAlign w:val="center"/>
          </w:tcPr>
          <w:p w:rsidR="00D4712D" w:rsidRDefault="00D4712D" w:rsidP="00052EBF">
            <w:pPr>
              <w:jc w:val="center"/>
            </w:pPr>
            <w:r>
              <w:t>Harmadik országba, nemzetközi szervezet számára történő továbbítás</w:t>
            </w:r>
          </w:p>
        </w:tc>
        <w:tc>
          <w:tcPr>
            <w:tcW w:w="6218" w:type="dxa"/>
          </w:tcPr>
          <w:p w:rsidR="00D4712D" w:rsidRDefault="00D4712D" w:rsidP="00052EBF">
            <w:pPr>
              <w:jc w:val="center"/>
            </w:pPr>
            <w:r>
              <w:t>Nincs</w:t>
            </w:r>
          </w:p>
        </w:tc>
      </w:tr>
      <w:tr w:rsidR="00D4712D" w:rsidTr="00052EBF">
        <w:trPr>
          <w:trHeight w:val="892"/>
        </w:trPr>
        <w:tc>
          <w:tcPr>
            <w:tcW w:w="2843" w:type="dxa"/>
            <w:vAlign w:val="center"/>
          </w:tcPr>
          <w:p w:rsidR="00D4712D" w:rsidRDefault="00D4712D" w:rsidP="00052EBF">
            <w:pPr>
              <w:jc w:val="center"/>
            </w:pPr>
            <w:r>
              <w:lastRenderedPageBreak/>
              <w:t>Tárolás időtartama, törlési határidő</w:t>
            </w:r>
          </w:p>
        </w:tc>
        <w:tc>
          <w:tcPr>
            <w:tcW w:w="6218" w:type="dxa"/>
          </w:tcPr>
          <w:p w:rsidR="00D4712D" w:rsidRDefault="00D4712D" w:rsidP="00052EBF">
            <w:pPr>
              <w:jc w:val="center"/>
            </w:pPr>
            <w:r w:rsidRPr="00896206">
              <w:rPr>
                <w:rFonts w:ascii="Calibri" w:hAnsi="Calibri"/>
                <w:color w:val="000000" w:themeColor="text1"/>
              </w:rPr>
              <w:t>A 2011. évi CXXVIII. törvény 79/</w:t>
            </w:r>
            <w:proofErr w:type="gramStart"/>
            <w:r w:rsidRPr="00896206">
              <w:rPr>
                <w:rFonts w:ascii="Calibri" w:hAnsi="Calibri"/>
                <w:color w:val="000000" w:themeColor="text1"/>
              </w:rPr>
              <w:t>A</w:t>
            </w:r>
            <w:proofErr w:type="gramEnd"/>
            <w:r w:rsidRPr="00896206">
              <w:rPr>
                <w:rFonts w:ascii="Calibri" w:hAnsi="Calibri"/>
                <w:color w:val="000000" w:themeColor="text1"/>
              </w:rPr>
              <w:t>.§ (8) bekezdése</w:t>
            </w:r>
            <w:r>
              <w:t>, valamint a Hszt. 104.§ (6) bekezdés szerint a rögzítést követő harminc nap.</w:t>
            </w:r>
          </w:p>
        </w:tc>
      </w:tr>
      <w:tr w:rsidR="00D4712D" w:rsidTr="00052EBF">
        <w:trPr>
          <w:trHeight w:val="892"/>
        </w:trPr>
        <w:tc>
          <w:tcPr>
            <w:tcW w:w="2843" w:type="dxa"/>
            <w:vAlign w:val="center"/>
          </w:tcPr>
          <w:p w:rsidR="00D4712D" w:rsidRDefault="00D4712D" w:rsidP="00052EBF">
            <w:pPr>
              <w:jc w:val="center"/>
            </w:pPr>
            <w:r>
              <w:t>Adatbiztonsági intézkedések általános leírása</w:t>
            </w:r>
          </w:p>
        </w:tc>
        <w:tc>
          <w:tcPr>
            <w:tcW w:w="6218" w:type="dxa"/>
            <w:vAlign w:val="center"/>
          </w:tcPr>
          <w:p w:rsidR="00D4712D" w:rsidRDefault="00D4712D" w:rsidP="00052EBF">
            <w:pPr>
              <w:jc w:val="center"/>
            </w:pPr>
            <w:r>
              <w:t>Az FKI Informatikai Biztonsági Szabályzatában meghatározottak szerint.</w:t>
            </w:r>
          </w:p>
        </w:tc>
      </w:tr>
    </w:tbl>
    <w:p w:rsidR="00D4712D" w:rsidRDefault="00D4712D" w:rsidP="00D4712D"/>
    <w:p w:rsidR="00D4712D" w:rsidRDefault="00D4712D" w:rsidP="00D4712D">
      <w:pPr>
        <w:jc w:val="both"/>
      </w:pPr>
      <w:r>
        <w:t>Az adatkezelő a GDPR 6. cikk (1) bekezdés e) pontja alapján, a Kat. tv. 79/A. § (1)-(4) bekezdésében meghatározottak szerint az FKI kezelésében lévő létesítmények rendjének és jogszerű működésének védelme, illetve az abban tartózkodók biztonsága érdekében a létesítmény folyosóin, a közös használatú – a megfigyelés elől az emberi méltóság védelme érdekében el nem zárt – helyiségeiben, valamint a létesítmények területét határoló külső falakon és kapuknál a katasztrófavédelem képfelvételt helyezhet el és felvételt készíthet.</w:t>
      </w:r>
    </w:p>
    <w:p w:rsidR="00D4712D" w:rsidRDefault="00D4712D" w:rsidP="00D4712D">
      <w:pPr>
        <w:jc w:val="both"/>
      </w:pPr>
      <w:r>
        <w:t>A Hszt. 104.§ (1) bekezdése, valamint 288/J.§ (1) bekezdése, illetve az Mt. 11/</w:t>
      </w:r>
      <w:proofErr w:type="gramStart"/>
      <w:r>
        <w:t>A</w:t>
      </w:r>
      <w:proofErr w:type="gramEnd"/>
      <w:r>
        <w:t xml:space="preserve">.§ (1) bekezdése lehetőséget ad a munkáltatónak a technikai ellenőrzés végrehajtására. </w:t>
      </w:r>
    </w:p>
    <w:p w:rsidR="00D4712D" w:rsidRDefault="00D4712D" w:rsidP="00D4712D">
      <w:pPr>
        <w:jc w:val="both"/>
      </w:pPr>
      <w:r>
        <w:t>A kezelt adatok tekintetében az adathordozhatósághoz való jog nem gyakorolható.</w:t>
      </w:r>
    </w:p>
    <w:p w:rsidR="00D4712D" w:rsidRDefault="00D4712D" w:rsidP="00D4712D">
      <w:pPr>
        <w:jc w:val="both"/>
      </w:pPr>
      <w:r>
        <w:t>Az adatkezeléssel kapcsolatos részletes belső normatív szabályozás az FKI székhelyének épületébe történő be- és kiléptetés szabályit is magában f</w:t>
      </w:r>
      <w:r w:rsidR="00823DE5">
        <w:t xml:space="preserve">oglaló házirendről szóló </w:t>
      </w:r>
      <w:r>
        <w:t>FKI intézkedésben szerepel.</w:t>
      </w:r>
    </w:p>
    <w:p w:rsidR="00D4712D" w:rsidRDefault="00BE4541" w:rsidP="00D4712D">
      <w:pPr>
        <w:jc w:val="both"/>
      </w:pPr>
      <w:r>
        <w:t xml:space="preserve">Az FKI épületeiben és </w:t>
      </w:r>
      <w:proofErr w:type="gramStart"/>
      <w:r>
        <w:t>épületei</w:t>
      </w:r>
      <w:r w:rsidR="00D4712D">
        <w:t>n</w:t>
      </w:r>
      <w:proofErr w:type="gramEnd"/>
      <w:r w:rsidR="00D4712D">
        <w:t xml:space="preserve"> az alábbi helyszíneken kerültek elhelyezésre kamerák:</w:t>
      </w:r>
      <w:r>
        <w:t xml:space="preserve"> </w:t>
      </w:r>
    </w:p>
    <w:tbl>
      <w:tblPr>
        <w:tblW w:w="10680" w:type="dxa"/>
        <w:tblInd w:w="55" w:type="dxa"/>
        <w:tblCellMar>
          <w:left w:w="70" w:type="dxa"/>
          <w:right w:w="70" w:type="dxa"/>
        </w:tblCellMar>
        <w:tblLook w:val="04A0" w:firstRow="1" w:lastRow="0" w:firstColumn="1" w:lastColumn="0" w:noHBand="0" w:noVBand="1"/>
      </w:tblPr>
      <w:tblGrid>
        <w:gridCol w:w="1300"/>
        <w:gridCol w:w="3240"/>
        <w:gridCol w:w="1260"/>
        <w:gridCol w:w="4880"/>
      </w:tblGrid>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objektum</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megnevezés</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elhelyezés</w:t>
            </w:r>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adatkezelés célja</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Teherkapu utca felöl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08 HTP személybejárat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Udvar 1.</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08 HTP személybejárat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FKI személybejárat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FKI személybejárat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Szertárak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FKI személybejárat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Udvar 2.</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08HTP pince raktár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Fogorvos rendelő röntgen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Fogorvos rendelő röntgen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Szerverszoba pince</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Szerverszoba pince</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08HTP személybejárat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08HTP teherkapu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proofErr w:type="gramStart"/>
            <w:r w:rsidRPr="00BE4541">
              <w:rPr>
                <w:rFonts w:ascii="Arial CE" w:eastAsia="Times New Roman" w:hAnsi="Arial CE" w:cs="Arial CE"/>
                <w:sz w:val="20"/>
                <w:szCs w:val="20"/>
                <w:lang w:eastAsia="hu-HU"/>
              </w:rPr>
              <w:t>rendszám rögzítés</w:t>
            </w:r>
            <w:proofErr w:type="gramEnd"/>
            <w:r w:rsidRPr="00BE4541">
              <w:rPr>
                <w:rFonts w:ascii="Arial CE" w:eastAsia="Times New Roman" w:hAnsi="Arial CE" w:cs="Arial CE"/>
                <w:sz w:val="20"/>
                <w:szCs w:val="20"/>
                <w:lang w:eastAsia="hu-HU"/>
              </w:rPr>
              <w:t xml:space="preserve"> kifelé irányban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gépjármű beléptetést segítő kamera</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proofErr w:type="gramStart"/>
            <w:r w:rsidRPr="00BE4541">
              <w:rPr>
                <w:rFonts w:ascii="Arial CE" w:eastAsia="Times New Roman" w:hAnsi="Arial CE" w:cs="Arial CE"/>
                <w:sz w:val="20"/>
                <w:szCs w:val="20"/>
                <w:lang w:eastAsia="hu-HU"/>
              </w:rPr>
              <w:t>rendszám rögzítés</w:t>
            </w:r>
            <w:proofErr w:type="gramEnd"/>
            <w:r w:rsidRPr="00BE4541">
              <w:rPr>
                <w:rFonts w:ascii="Arial CE" w:eastAsia="Times New Roman" w:hAnsi="Arial CE" w:cs="Arial CE"/>
                <w:sz w:val="20"/>
                <w:szCs w:val="20"/>
                <w:lang w:eastAsia="hu-HU"/>
              </w:rPr>
              <w:t xml:space="preserve"> befelé irányban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gépjármű beléptetést segítő kamera</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08HTP szertárak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08HTP szertárak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Szerverszoba C épület</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lastRenderedPageBreak/>
              <w:t>Budavár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Budavár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02 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02 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02 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02 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02 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02 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Személykapu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02 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Teherkapu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02 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belső</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Megyer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Megyer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Megyer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Megyer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Megyer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Raktar</w:t>
            </w:r>
            <w:proofErr w:type="spellEnd"/>
            <w:r w:rsidRPr="00BE4541">
              <w:rPr>
                <w:rFonts w:ascii="Calibri" w:eastAsia="Times New Roman" w:hAnsi="Calibri" w:cs="Times New Roman"/>
                <w:color w:val="000000"/>
                <w:lang w:eastAsia="hu-HU"/>
              </w:rPr>
              <w:t xml:space="preserve">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Megyer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Raktar</w:t>
            </w:r>
            <w:proofErr w:type="spellEnd"/>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Megyer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Parkoló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Megyer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Belváros</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Belváros</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Belváros</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belső</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Fsz</w:t>
            </w:r>
            <w:proofErr w:type="spellEnd"/>
            <w:r w:rsidRPr="00BE4541">
              <w:rPr>
                <w:rFonts w:ascii="Calibri" w:eastAsia="Times New Roman" w:hAnsi="Calibri" w:cs="Times New Roman"/>
                <w:color w:val="000000"/>
                <w:lang w:eastAsia="hu-HU"/>
              </w:rPr>
              <w:t xml:space="preserve"> udvari bejárat</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lastRenderedPageBreak/>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Múzeum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1em folyosó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Konyha</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Étkező</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Múzeum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Múzeum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Fsz</w:t>
            </w:r>
            <w:proofErr w:type="spellEnd"/>
            <w:r w:rsidRPr="00BE4541">
              <w:rPr>
                <w:rFonts w:ascii="Calibri" w:eastAsia="Times New Roman" w:hAnsi="Calibri" w:cs="Times New Roman"/>
                <w:color w:val="000000"/>
                <w:lang w:eastAsia="hu-HU"/>
              </w:rPr>
              <w:t xml:space="preserve"> folyosó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Múzeum 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Parkoló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Hátsó személykapu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Fsz</w:t>
            </w:r>
            <w:proofErr w:type="spellEnd"/>
            <w:r w:rsidRPr="00BE4541">
              <w:rPr>
                <w:rFonts w:ascii="Calibri" w:eastAsia="Times New Roman" w:hAnsi="Calibri" w:cs="Times New Roman"/>
                <w:color w:val="000000"/>
                <w:lang w:eastAsia="hu-HU"/>
              </w:rPr>
              <w:t xml:space="preserve"> udvari bejárat</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Parkoló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Parkoló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Fekete öltöző</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Személykapu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Hátsó 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Fekete öltöző</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Teherkapu előtér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17HTP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17HTP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17HTP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Parkoló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17HTP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Mosó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Külső parkoló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lastRenderedPageBreak/>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 bal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 jobb</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Aula személykapunál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Parkoló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Hátsó 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Fsz</w:t>
            </w:r>
            <w:proofErr w:type="spellEnd"/>
            <w:r w:rsidRPr="00BE4541">
              <w:rPr>
                <w:rFonts w:ascii="Calibri" w:eastAsia="Times New Roman" w:hAnsi="Calibri" w:cs="Times New Roman"/>
                <w:color w:val="000000"/>
                <w:lang w:eastAsia="hu-HU"/>
              </w:rPr>
              <w:t xml:space="preserve"> udvari bejárat</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 kelet</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 nyugat</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Budafok</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Budafok</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Budafok</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Budafok</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Parkoló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Budafok</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Budafok</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bl>
    <w:p w:rsidR="00BE4541" w:rsidRDefault="00BE4541" w:rsidP="00D4712D"/>
    <w:p w:rsidR="00D4712D" w:rsidRDefault="00D4712D" w:rsidP="00D4712D">
      <w:r>
        <w:t>A képfelvevő berendezések üzemeltetője az FKI Gazdasági Igazgató-helyettesi Szervezet Informatikai Osztály.</w:t>
      </w:r>
    </w:p>
    <w:p w:rsidR="00D4712D" w:rsidRDefault="00D4712D" w:rsidP="00D4712D">
      <w:r>
        <w:t>Az adatkezeléssel összefüggésben az adatkezelést végző szerv adatvédelmi tisztviselőjén keresztül:</w:t>
      </w:r>
    </w:p>
    <w:p w:rsidR="00D4712D" w:rsidRDefault="00D4712D" w:rsidP="00D4712D">
      <w:pPr>
        <w:pStyle w:val="Listaszerbekezds"/>
        <w:numPr>
          <w:ilvl w:val="0"/>
          <w:numId w:val="3"/>
        </w:numPr>
        <w:ind w:left="142" w:hanging="142"/>
      </w:pPr>
      <w:r>
        <w:t xml:space="preserve">tájékoztatást kérhet az adatkezelésről, </w:t>
      </w:r>
    </w:p>
    <w:p w:rsidR="00D4712D" w:rsidRDefault="00D4712D" w:rsidP="00D4712D">
      <w:pPr>
        <w:pStyle w:val="Listaszerbekezds"/>
        <w:numPr>
          <w:ilvl w:val="0"/>
          <w:numId w:val="3"/>
        </w:numPr>
        <w:ind w:left="142" w:hanging="142"/>
      </w:pPr>
      <w:r>
        <w:t>hozzáférést kérhet a rá vonatkozóan kezelt adatokhoz,</w:t>
      </w:r>
    </w:p>
    <w:p w:rsidR="00D4712D" w:rsidRDefault="00D4712D" w:rsidP="00D4712D">
      <w:pPr>
        <w:pStyle w:val="Listaszerbekezds"/>
        <w:numPr>
          <w:ilvl w:val="0"/>
          <w:numId w:val="3"/>
        </w:numPr>
        <w:ind w:left="142" w:hanging="142"/>
      </w:pPr>
      <w:r>
        <w:t>pontatlan adatok esetén helyesbítést vagy a hiányos adatok kiegészítését kérheti,</w:t>
      </w:r>
    </w:p>
    <w:p w:rsidR="00D4712D" w:rsidRDefault="00D4712D" w:rsidP="00D4712D">
      <w:pPr>
        <w:pStyle w:val="Listaszerbekezds"/>
        <w:numPr>
          <w:ilvl w:val="0"/>
          <w:numId w:val="3"/>
        </w:numPr>
        <w:ind w:left="142" w:hanging="142"/>
      </w:pPr>
      <w:r>
        <w:t>adatai kezelése ellen tiltakozhat,</w:t>
      </w:r>
    </w:p>
    <w:p w:rsidR="00D4712D" w:rsidRDefault="00D4712D" w:rsidP="00D4712D">
      <w:pPr>
        <w:pStyle w:val="Listaszerbekezds"/>
        <w:numPr>
          <w:ilvl w:val="0"/>
          <w:numId w:val="3"/>
        </w:numPr>
        <w:ind w:left="142" w:hanging="142"/>
      </w:pPr>
      <w:r>
        <w:t>a hozzájárulása alapján kezelt adatok törlését kérheti,</w:t>
      </w:r>
    </w:p>
    <w:p w:rsidR="00D4712D" w:rsidRDefault="00D4712D" w:rsidP="00D4712D">
      <w:pPr>
        <w:pStyle w:val="Listaszerbekezds"/>
        <w:numPr>
          <w:ilvl w:val="0"/>
          <w:numId w:val="3"/>
        </w:numPr>
        <w:ind w:left="142" w:hanging="142"/>
      </w:pPr>
      <w:r>
        <w:t xml:space="preserve">az adatkezelés korlátozását kérheti. </w:t>
      </w:r>
    </w:p>
    <w:p w:rsidR="00D4712D" w:rsidRDefault="00D4712D" w:rsidP="00D4712D">
      <w:r>
        <w:t>A katasztrófavédelmi adatkezelő szervek tekintetében az adathordozhatósághoz való jog nem gyakorolható.</w:t>
      </w:r>
    </w:p>
    <w:p w:rsidR="00D4712D" w:rsidRDefault="00D4712D" w:rsidP="00D4712D">
      <w:r>
        <w:t xml:space="preserve">Az érintett tájékoztatás kérése alapján – amennyiben az nem esik törvényben meghatározott érdekből korlátozás alá – megismerheti, hogy személyes adatainak kezelése folyamatban van-e a </w:t>
      </w:r>
      <w:r>
        <w:lastRenderedPageBreak/>
        <w:t>katasztrófavédelmi szervnél és jogosult arra, hogy a rá vonatkozóan kezelt adatok kapcsán tájékoztatást kapjon arról, hogy:</w:t>
      </w:r>
    </w:p>
    <w:p w:rsidR="00D4712D" w:rsidRDefault="00D4712D" w:rsidP="00D4712D">
      <w:pPr>
        <w:pStyle w:val="Listaszerbekezds"/>
        <w:numPr>
          <w:ilvl w:val="0"/>
          <w:numId w:val="3"/>
        </w:numPr>
        <w:ind w:left="142" w:hanging="142"/>
      </w:pPr>
      <w:r>
        <w:t>milyen célból kezeli,</w:t>
      </w:r>
    </w:p>
    <w:p w:rsidR="00D4712D" w:rsidRDefault="00D4712D" w:rsidP="00D4712D">
      <w:pPr>
        <w:pStyle w:val="Listaszerbekezds"/>
        <w:numPr>
          <w:ilvl w:val="0"/>
          <w:numId w:val="3"/>
        </w:numPr>
        <w:ind w:left="142" w:hanging="142"/>
      </w:pPr>
      <w:r>
        <w:t>mi jogosítja fel az adatok kezelésére (jogalapjáról),</w:t>
      </w:r>
    </w:p>
    <w:p w:rsidR="00D4712D" w:rsidRDefault="00D4712D" w:rsidP="00D4712D">
      <w:pPr>
        <w:pStyle w:val="Listaszerbekezds"/>
        <w:numPr>
          <w:ilvl w:val="0"/>
          <w:numId w:val="3"/>
        </w:numPr>
        <w:ind w:left="142" w:hanging="142"/>
      </w:pPr>
      <w:r>
        <w:t>mikortól és meddig kezeli az adatokat (időtartamáról),</w:t>
      </w:r>
    </w:p>
    <w:p w:rsidR="00D4712D" w:rsidRDefault="00D4712D" w:rsidP="00D4712D">
      <w:pPr>
        <w:pStyle w:val="Listaszerbekezds"/>
        <w:numPr>
          <w:ilvl w:val="0"/>
          <w:numId w:val="3"/>
        </w:numPr>
        <w:ind w:left="142" w:hanging="142"/>
      </w:pPr>
      <w:r>
        <w:t>milyen adatokat kezel, és azok másolatát az érintett rendelkezésére bocsátja,</w:t>
      </w:r>
    </w:p>
    <w:p w:rsidR="00D4712D" w:rsidRDefault="00D4712D" w:rsidP="00D4712D">
      <w:pPr>
        <w:pStyle w:val="Listaszerbekezds"/>
        <w:numPr>
          <w:ilvl w:val="0"/>
          <w:numId w:val="3"/>
        </w:numPr>
        <w:ind w:left="142" w:hanging="142"/>
      </w:pPr>
      <w:r>
        <w:t>a személyes adatok címzettjeiről, illetve a címzettek kategóriáiról,</w:t>
      </w:r>
    </w:p>
    <w:p w:rsidR="00D4712D" w:rsidRDefault="00D4712D" w:rsidP="00D4712D">
      <w:pPr>
        <w:pStyle w:val="Listaszerbekezds"/>
        <w:numPr>
          <w:ilvl w:val="0"/>
          <w:numId w:val="3"/>
        </w:numPr>
        <w:ind w:left="142" w:hanging="142"/>
      </w:pPr>
      <w:r>
        <w:t>harmadik országba vagy nemzetközi szervezet részére történő továbbításról,</w:t>
      </w:r>
    </w:p>
    <w:p w:rsidR="00D4712D" w:rsidRDefault="00D4712D" w:rsidP="00D4712D">
      <w:pPr>
        <w:pStyle w:val="Listaszerbekezds"/>
        <w:numPr>
          <w:ilvl w:val="0"/>
          <w:numId w:val="3"/>
        </w:numPr>
        <w:ind w:left="142" w:hanging="142"/>
      </w:pPr>
      <w:r>
        <w:t>amennyiben azokat nem az érintettől gyűjtötte, akkor az adatok forrásáról,</w:t>
      </w:r>
    </w:p>
    <w:p w:rsidR="00D4712D" w:rsidRDefault="00D4712D" w:rsidP="00D4712D">
      <w:pPr>
        <w:pStyle w:val="Listaszerbekezds"/>
        <w:numPr>
          <w:ilvl w:val="0"/>
          <w:numId w:val="3"/>
        </w:numPr>
        <w:ind w:left="142" w:hanging="142"/>
      </w:pPr>
      <w:r>
        <w:t xml:space="preserve">az adatkezeléssel összefüggő </w:t>
      </w:r>
      <w:proofErr w:type="spellStart"/>
      <w:r>
        <w:t>érintetti</w:t>
      </w:r>
      <w:proofErr w:type="spellEnd"/>
      <w:r>
        <w:t xml:space="preserve"> jogairól,</w:t>
      </w:r>
    </w:p>
    <w:p w:rsidR="00D4712D" w:rsidRDefault="00D4712D" w:rsidP="00D4712D">
      <w:pPr>
        <w:pStyle w:val="Listaszerbekezds"/>
        <w:numPr>
          <w:ilvl w:val="0"/>
          <w:numId w:val="3"/>
        </w:numPr>
        <w:ind w:left="142" w:hanging="142"/>
      </w:pPr>
      <w:r>
        <w:t>jogorvoslati lehetőségeiről.</w:t>
      </w:r>
    </w:p>
    <w:p w:rsidR="00D4712D" w:rsidRDefault="00D4712D" w:rsidP="00D4712D">
      <w:pPr>
        <w:jc w:val="both"/>
      </w:pPr>
      <w:r>
        <w:t>A tájékoztatás iránti és hozzáférésre irányuló kérelmekre az adatkezelő szerv legkésőbb 30 napon belül válaszol. Az érintett által a róla kezelt személyes adatokról kért további másolatokért az adatkezelő szerv az adminisztratív költségeken alapuló, ésszerű mértékű díjat számíthat fel. Egyes esetekben törvényi rendelkezések alapján a tájékoztatást az FKI megtagadhatja, ekkor a válaszban minden esetben szerepel a tájékoztatás megtagadását megalapozó törvényi rendelkezés, illetve az igénybe vehető jogorvoslati lehetőség.</w:t>
      </w:r>
    </w:p>
    <w:p w:rsidR="00D4712D" w:rsidRDefault="00D4712D" w:rsidP="00D4712D">
      <w:pPr>
        <w:jc w:val="both"/>
      </w:pPr>
      <w:r>
        <w:t xml:space="preserve">Az adat helyesbítésének kérése esetén a módosítani </w:t>
      </w:r>
      <w:proofErr w:type="gramStart"/>
      <w:r>
        <w:t>kívánt adat</w:t>
      </w:r>
      <w:proofErr w:type="gramEnd"/>
      <w:r>
        <w:t xml:space="preserve"> valóságát az érintettnek alá kell támasztania, és igazolnia kell azt is, hogy valóban az arra jogosult személy kéri a változtatást. Az adatkezelő szerv csak így tudhatja megítélni azt, hogy az </w:t>
      </w:r>
      <w:proofErr w:type="gramStart"/>
      <w:r>
        <w:t>új adat</w:t>
      </w:r>
      <w:proofErr w:type="gramEnd"/>
      <w:r>
        <w:t xml:space="preserve"> valós-e, és ha igen, akkor módosíthatja-e a régit. Amennyiben nem egyértelmű, hogy a kezelt adat helyes-e vagy pontos-e, akkor az adatkezelő szerv az adatot nem helyesbíti, csak megjelöli, azaz jelzi, hogy azt az érintett kifogásolta. Az adatkezelő a kérés hitelességének megerősítését követően, indokolatlan késedelem nélkül helyesbíti a pontatlan személyes adatokat, illetve kiegészíti a kérelemmel érintett adatokat. Erről az adatkezelő az érintettet értesíti.</w:t>
      </w:r>
    </w:p>
    <w:p w:rsidR="00D4712D" w:rsidRDefault="00D4712D" w:rsidP="00D4712D">
      <w:pPr>
        <w:jc w:val="both"/>
      </w:pPr>
      <w:r>
        <w:t xml:space="preserve">Adatkezelés korlátozására irányuló kérelemnek az adatkezelő akkor tesz eleget, ha az alábbiak közül valamelyik teljesül: </w:t>
      </w:r>
    </w:p>
    <w:p w:rsidR="00D4712D" w:rsidRDefault="00D4712D" w:rsidP="00D4712D">
      <w:pPr>
        <w:pStyle w:val="Listaszerbekezds"/>
        <w:numPr>
          <w:ilvl w:val="0"/>
          <w:numId w:val="3"/>
        </w:numPr>
        <w:ind w:left="142" w:hanging="142"/>
        <w:jc w:val="both"/>
      </w:pPr>
      <w:r>
        <w:t>az érintett vitatja a személyes adatok pontosságát, ez esetben a korlátozás arra az időtartamra vonatkozik, amely lehetővé teszi, hogy az adatkezelő ellenőrizze a személyes adatok pontosságát;</w:t>
      </w:r>
    </w:p>
    <w:p w:rsidR="00D4712D" w:rsidRDefault="00D4712D" w:rsidP="00D4712D">
      <w:pPr>
        <w:pStyle w:val="Listaszerbekezds"/>
        <w:numPr>
          <w:ilvl w:val="0"/>
          <w:numId w:val="3"/>
        </w:numPr>
        <w:ind w:left="142" w:hanging="142"/>
        <w:jc w:val="both"/>
      </w:pPr>
      <w:r>
        <w:t xml:space="preserve">az adatkezelés jogellenes, és az érintett ellenzi az adatok törlését, és </w:t>
      </w:r>
      <w:proofErr w:type="gramStart"/>
      <w:r>
        <w:t>ehelyett</w:t>
      </w:r>
      <w:proofErr w:type="gramEnd"/>
      <w:r>
        <w:t xml:space="preserve"> kéri azok felhasználásának korlátozását;</w:t>
      </w:r>
    </w:p>
    <w:p w:rsidR="00D4712D" w:rsidRDefault="00D4712D" w:rsidP="00D4712D">
      <w:pPr>
        <w:pStyle w:val="Listaszerbekezds"/>
        <w:numPr>
          <w:ilvl w:val="0"/>
          <w:numId w:val="3"/>
        </w:numPr>
        <w:ind w:left="142" w:hanging="142"/>
        <w:jc w:val="both"/>
      </w:pPr>
      <w:r>
        <w:t>az adatkezelőnek már nincs szüksége a személyes adatokra adatkezelés céljából, de az érintett igényli azokat igények előterjesztéséhez, érvényesítéséhez vagy védelméhez, vagyis a rá vonatkozó adatkezelés ellen.</w:t>
      </w:r>
    </w:p>
    <w:p w:rsidR="00D4712D" w:rsidRDefault="00D4712D" w:rsidP="00D4712D">
      <w:pPr>
        <w:jc w:val="both"/>
      </w:pPr>
      <w:r>
        <w:t>Ha az adat korlátozás alá esik, akkor a személyes adatokat a tárolás kivételével csak:</w:t>
      </w:r>
    </w:p>
    <w:p w:rsidR="00D4712D" w:rsidRDefault="00D4712D" w:rsidP="00D4712D">
      <w:pPr>
        <w:pStyle w:val="Listaszerbekezds"/>
        <w:numPr>
          <w:ilvl w:val="0"/>
          <w:numId w:val="3"/>
        </w:numPr>
        <w:ind w:left="142" w:hanging="142"/>
        <w:jc w:val="both"/>
      </w:pPr>
      <w:r>
        <w:t>az érintett hozzájárulásával;</w:t>
      </w:r>
    </w:p>
    <w:p w:rsidR="00D4712D" w:rsidRDefault="00D4712D" w:rsidP="00D4712D">
      <w:pPr>
        <w:pStyle w:val="Listaszerbekezds"/>
        <w:numPr>
          <w:ilvl w:val="0"/>
          <w:numId w:val="3"/>
        </w:numPr>
        <w:ind w:left="142" w:hanging="142"/>
        <w:jc w:val="both"/>
      </w:pPr>
      <w:r>
        <w:t>jogi igények előterjesztéséhez, érvényesítéséhez vagy védelméhez;</w:t>
      </w:r>
    </w:p>
    <w:p w:rsidR="00D4712D" w:rsidRDefault="00D4712D" w:rsidP="00D4712D">
      <w:pPr>
        <w:pStyle w:val="Listaszerbekezds"/>
        <w:numPr>
          <w:ilvl w:val="0"/>
          <w:numId w:val="3"/>
        </w:numPr>
        <w:ind w:left="142" w:hanging="142"/>
        <w:jc w:val="both"/>
      </w:pPr>
      <w:r>
        <w:t xml:space="preserve">más természetes vagy jogi személy jogainak védelme érdekében; </w:t>
      </w:r>
    </w:p>
    <w:p w:rsidR="00D4712D" w:rsidRDefault="00D4712D" w:rsidP="00D4712D">
      <w:pPr>
        <w:pStyle w:val="Listaszerbekezds"/>
        <w:numPr>
          <w:ilvl w:val="0"/>
          <w:numId w:val="3"/>
        </w:numPr>
        <w:ind w:left="142" w:hanging="142"/>
        <w:jc w:val="both"/>
      </w:pPr>
      <w:r>
        <w:t xml:space="preserve">az Európai Unió, illetve valamely tagállam fontos közérdekéből lehet kezelni. </w:t>
      </w:r>
    </w:p>
    <w:p w:rsidR="00D4712D" w:rsidRDefault="00D4712D" w:rsidP="00D4712D">
      <w:pPr>
        <w:jc w:val="both"/>
      </w:pPr>
      <w:r>
        <w:t xml:space="preserve">Az adatkezelő az adatkezelés korlátozásának feloldásáról előzetesen tájékoztatja az érintettet. </w:t>
      </w:r>
    </w:p>
    <w:p w:rsidR="00D4712D" w:rsidRDefault="00D4712D" w:rsidP="00D4712D">
      <w:pPr>
        <w:jc w:val="both"/>
      </w:pPr>
      <w:r>
        <w:lastRenderedPageBreak/>
        <w:t>Az érintett jogosult arra is, hogy a saját helyzetével kapcsolatos okokból bármikor tiltakozzon személyes adatainak az adatkezelőre ruházott közhatalmi jogosítványgyakorlásának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igényei előterjesztéséhez, érvényesítéséhez vagy védelméhez kapcsolódnak.</w:t>
      </w:r>
    </w:p>
    <w:p w:rsidR="00D4712D" w:rsidRDefault="00D4712D" w:rsidP="00D4712D">
      <w:pPr>
        <w:jc w:val="both"/>
      </w:pPr>
      <w:r>
        <w:t xml:space="preserve">Olyan adatnak a törlését vagy zárolását az adatkezelő nem végezheti el, aminek a kezelésére közhatalom gyakorlása, jogi kötelezettsége teljesítése keretében van szükség, vagy jogi igények előterjesztéséhez, érvényesítéséhez, illetve védelméhez kezel, ezt az adatot ugyanis kötelező használnia, nyilvántartania. A törlésről vagy zárolásról az adatkezelő az érintettet tájékoztatja. </w:t>
      </w:r>
    </w:p>
    <w:p w:rsidR="00D4712D" w:rsidRDefault="00D4712D" w:rsidP="00D4712D">
      <w:pPr>
        <w:jc w:val="both"/>
      </w:pPr>
      <w:r>
        <w:t>Amennyiben az érintett úgy ítéli meg, hogy az adatkezelés a GDPR rendelkezéseibe ütközik, illetve sérelmesnek véli azt, ahogy az adatkezelő a személyes adatait kezeli, akkor célszerű az FKI adatvédelmi tisztviselőjét (1081 Budapest, Dologház u. 1</w:t>
      </w:r>
      <w:proofErr w:type="gramStart"/>
      <w:r>
        <w:t>.;</w:t>
      </w:r>
      <w:proofErr w:type="gramEnd"/>
      <w:r>
        <w:t xml:space="preserve"> telefon: 459-2300/93004; email: </w:t>
      </w:r>
      <w:hyperlink r:id="rId8" w:history="1">
        <w:r w:rsidRPr="00D9674F">
          <w:rPr>
            <w:rStyle w:val="Hiperhivatkozs"/>
          </w:rPr>
          <w:t>zoltan.cseh@katved.gov.hu</w:t>
        </w:r>
      </w:hyperlink>
      <w:r>
        <w:t xml:space="preserve">) megkeresni a panaszával. </w:t>
      </w:r>
    </w:p>
    <w:p w:rsidR="00D4712D" w:rsidRDefault="00D4712D" w:rsidP="00D4712D">
      <w:pPr>
        <w:jc w:val="both"/>
      </w:pPr>
      <w:r>
        <w:t>Ha a panaszára kapott válasz ellenére továbbra is sérelmezi azt, ahogy az adatkezelő kezeli az adatait, vagy közvetlenül az adatvédelmi hatósághoz szeretne fordulni, akkor bejelentéssel élhet a Nemzeti Adatvédelmi és Inf</w:t>
      </w:r>
      <w:r w:rsidR="000B2A82">
        <w:t>ormációszabadság Hatóságnál (105</w:t>
      </w:r>
      <w:r>
        <w:t xml:space="preserve">5 Budapest, </w:t>
      </w:r>
      <w:r w:rsidR="000B2A82">
        <w:t>Falk Miksa u. 9—11., levelezési cím: postacím: 1363 Budapest, Pf. 9</w:t>
      </w:r>
      <w:proofErr w:type="gramStart"/>
      <w:r>
        <w:t>.;</w:t>
      </w:r>
      <w:proofErr w:type="gramEnd"/>
      <w:r>
        <w:t xml:space="preserve"> </w:t>
      </w:r>
      <w:r w:rsidR="000B2A82">
        <w:t xml:space="preserve">telefon: +36 (1) 391-1400, </w:t>
      </w:r>
      <w:bookmarkStart w:id="0" w:name="_GoBack"/>
      <w:bookmarkEnd w:id="0"/>
      <w:r>
        <w:t xml:space="preserve">email: </w:t>
      </w:r>
      <w:hyperlink r:id="rId9" w:history="1">
        <w:r w:rsidRPr="00D9674F">
          <w:rPr>
            <w:rStyle w:val="Hiperhivatkozs"/>
          </w:rPr>
          <w:t>ugyfelszolgalat@naih.hu</w:t>
        </w:r>
      </w:hyperlink>
      <w:r>
        <w:t xml:space="preserve">; honlap: </w:t>
      </w:r>
      <w:hyperlink r:id="rId10" w:history="1">
        <w:r w:rsidRPr="00D9674F">
          <w:rPr>
            <w:rStyle w:val="Hiperhivatkozs"/>
          </w:rPr>
          <w:t>www.naih.hu</w:t>
        </w:r>
      </w:hyperlink>
      <w:r>
        <w:t>).</w:t>
      </w:r>
    </w:p>
    <w:p w:rsidR="00D4712D" w:rsidRDefault="00D4712D" w:rsidP="00D4712D">
      <w:pPr>
        <w:jc w:val="both"/>
      </w:pPr>
      <w:r>
        <w:t>Lehetősége van adatinak védelme érdekében bírósághoz fordulni, amely az ügyben soron kívül jár el. Ebben az esetben szabadon eldöntheti, hogy a lakóhelye vagy a tartózkodási helye szerinti törvényszéknél (</w:t>
      </w:r>
      <w:hyperlink r:id="rId11" w:history="1">
        <w:r w:rsidRPr="00D9674F">
          <w:rPr>
            <w:rStyle w:val="Hiperhivatkozs"/>
          </w:rPr>
          <w:t>http://birosag.hu/torvenyszekek</w:t>
        </w:r>
      </w:hyperlink>
      <w:r>
        <w:t xml:space="preserve">) nyújtja-e be keresetét. A területileg illetékes törvényszékeket megkeresheti a </w:t>
      </w:r>
      <w:hyperlink r:id="rId12" w:history="1">
        <w:r w:rsidRPr="00D9674F">
          <w:rPr>
            <w:rStyle w:val="Hiperhivatkozs"/>
          </w:rPr>
          <w:t>https://birosag.hu/ugyfelkapcsolati-portal/birosag-kereso</w:t>
        </w:r>
      </w:hyperlink>
      <w:r>
        <w:t xml:space="preserve"> oldalon.  </w:t>
      </w:r>
    </w:p>
    <w:p w:rsidR="00D4712D" w:rsidRDefault="00D4712D" w:rsidP="00D4712D">
      <w:pPr>
        <w:jc w:val="both"/>
      </w:pPr>
    </w:p>
    <w:p w:rsidR="00D4712D" w:rsidRDefault="00D4712D" w:rsidP="00D4712D">
      <w:pPr>
        <w:jc w:val="both"/>
      </w:pPr>
    </w:p>
    <w:p w:rsidR="00D4712D" w:rsidRPr="00D4712D" w:rsidRDefault="00D4712D">
      <w:pPr>
        <w:rPr>
          <w:rFonts w:ascii="Times New Roman" w:hAnsi="Times New Roman" w:cs="Times New Roman"/>
          <w:sz w:val="24"/>
          <w:szCs w:val="24"/>
        </w:rPr>
      </w:pPr>
    </w:p>
    <w:sectPr w:rsidR="00D4712D" w:rsidRPr="00D4712D" w:rsidSect="00D4712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D0B2E"/>
    <w:multiLevelType w:val="hybridMultilevel"/>
    <w:tmpl w:val="06B822F4"/>
    <w:lvl w:ilvl="0" w:tplc="E620E19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C242CC7"/>
    <w:multiLevelType w:val="hybridMultilevel"/>
    <w:tmpl w:val="C88885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2FB616B"/>
    <w:multiLevelType w:val="hybridMultilevel"/>
    <w:tmpl w:val="61848AC0"/>
    <w:lvl w:ilvl="0" w:tplc="FE2EBA1C">
      <w:start w:val="1"/>
      <w:numFmt w:val="lowerLetter"/>
      <w:lvlText w:val="%1)"/>
      <w:lvlJc w:val="left"/>
      <w:pPr>
        <w:ind w:left="432" w:hanging="360"/>
      </w:pPr>
      <w:rPr>
        <w:rFonts w:hint="default"/>
      </w:rPr>
    </w:lvl>
    <w:lvl w:ilvl="1" w:tplc="040E0019" w:tentative="1">
      <w:start w:val="1"/>
      <w:numFmt w:val="lowerLetter"/>
      <w:lvlText w:val="%2."/>
      <w:lvlJc w:val="left"/>
      <w:pPr>
        <w:ind w:left="1152" w:hanging="360"/>
      </w:pPr>
    </w:lvl>
    <w:lvl w:ilvl="2" w:tplc="040E001B" w:tentative="1">
      <w:start w:val="1"/>
      <w:numFmt w:val="lowerRoman"/>
      <w:lvlText w:val="%3."/>
      <w:lvlJc w:val="right"/>
      <w:pPr>
        <w:ind w:left="1872" w:hanging="180"/>
      </w:pPr>
    </w:lvl>
    <w:lvl w:ilvl="3" w:tplc="040E000F" w:tentative="1">
      <w:start w:val="1"/>
      <w:numFmt w:val="decimal"/>
      <w:lvlText w:val="%4."/>
      <w:lvlJc w:val="left"/>
      <w:pPr>
        <w:ind w:left="2592" w:hanging="360"/>
      </w:pPr>
    </w:lvl>
    <w:lvl w:ilvl="4" w:tplc="040E0019" w:tentative="1">
      <w:start w:val="1"/>
      <w:numFmt w:val="lowerLetter"/>
      <w:lvlText w:val="%5."/>
      <w:lvlJc w:val="left"/>
      <w:pPr>
        <w:ind w:left="3312" w:hanging="360"/>
      </w:pPr>
    </w:lvl>
    <w:lvl w:ilvl="5" w:tplc="040E001B" w:tentative="1">
      <w:start w:val="1"/>
      <w:numFmt w:val="lowerRoman"/>
      <w:lvlText w:val="%6."/>
      <w:lvlJc w:val="right"/>
      <w:pPr>
        <w:ind w:left="4032" w:hanging="180"/>
      </w:pPr>
    </w:lvl>
    <w:lvl w:ilvl="6" w:tplc="040E000F" w:tentative="1">
      <w:start w:val="1"/>
      <w:numFmt w:val="decimal"/>
      <w:lvlText w:val="%7."/>
      <w:lvlJc w:val="left"/>
      <w:pPr>
        <w:ind w:left="4752" w:hanging="360"/>
      </w:pPr>
    </w:lvl>
    <w:lvl w:ilvl="7" w:tplc="040E0019" w:tentative="1">
      <w:start w:val="1"/>
      <w:numFmt w:val="lowerLetter"/>
      <w:lvlText w:val="%8."/>
      <w:lvlJc w:val="left"/>
      <w:pPr>
        <w:ind w:left="5472" w:hanging="360"/>
      </w:pPr>
    </w:lvl>
    <w:lvl w:ilvl="8" w:tplc="040E001B" w:tentative="1">
      <w:start w:val="1"/>
      <w:numFmt w:val="lowerRoman"/>
      <w:lvlText w:val="%9."/>
      <w:lvlJc w:val="right"/>
      <w:pPr>
        <w:ind w:left="619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54"/>
    <w:rsid w:val="000B2A82"/>
    <w:rsid w:val="00693FA9"/>
    <w:rsid w:val="00823DE5"/>
    <w:rsid w:val="009337E8"/>
    <w:rsid w:val="00BE4541"/>
    <w:rsid w:val="00D4712D"/>
    <w:rsid w:val="00FA57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A5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A57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5754"/>
    <w:rPr>
      <w:rFonts w:ascii="Tahoma" w:hAnsi="Tahoma" w:cs="Tahoma"/>
      <w:sz w:val="16"/>
      <w:szCs w:val="16"/>
    </w:rPr>
  </w:style>
  <w:style w:type="character" w:customStyle="1" w:styleId="Cmsor1Char">
    <w:name w:val="Címsor 1 Char"/>
    <w:basedOn w:val="Bekezdsalapbettpusa"/>
    <w:link w:val="Cmsor1"/>
    <w:uiPriority w:val="9"/>
    <w:rsid w:val="00FA5754"/>
    <w:rPr>
      <w:rFonts w:asciiTheme="majorHAnsi" w:eastAsiaTheme="majorEastAsia" w:hAnsiTheme="majorHAnsi" w:cstheme="majorBidi"/>
      <w:b/>
      <w:bCs/>
      <w:color w:val="365F91" w:themeColor="accent1" w:themeShade="BF"/>
      <w:sz w:val="28"/>
      <w:szCs w:val="28"/>
    </w:rPr>
  </w:style>
  <w:style w:type="paragraph" w:styleId="Listaszerbekezds">
    <w:name w:val="List Paragraph"/>
    <w:basedOn w:val="Norml"/>
    <w:uiPriority w:val="34"/>
    <w:qFormat/>
    <w:rsid w:val="00D4712D"/>
    <w:pPr>
      <w:ind w:left="720"/>
      <w:contextualSpacing/>
    </w:pPr>
  </w:style>
  <w:style w:type="table" w:styleId="Rcsostblzat">
    <w:name w:val="Table Grid"/>
    <w:basedOn w:val="Normltblzat"/>
    <w:uiPriority w:val="59"/>
    <w:rsid w:val="00D4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D471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A5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A57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5754"/>
    <w:rPr>
      <w:rFonts w:ascii="Tahoma" w:hAnsi="Tahoma" w:cs="Tahoma"/>
      <w:sz w:val="16"/>
      <w:szCs w:val="16"/>
    </w:rPr>
  </w:style>
  <w:style w:type="character" w:customStyle="1" w:styleId="Cmsor1Char">
    <w:name w:val="Címsor 1 Char"/>
    <w:basedOn w:val="Bekezdsalapbettpusa"/>
    <w:link w:val="Cmsor1"/>
    <w:uiPriority w:val="9"/>
    <w:rsid w:val="00FA5754"/>
    <w:rPr>
      <w:rFonts w:asciiTheme="majorHAnsi" w:eastAsiaTheme="majorEastAsia" w:hAnsiTheme="majorHAnsi" w:cstheme="majorBidi"/>
      <w:b/>
      <w:bCs/>
      <w:color w:val="365F91" w:themeColor="accent1" w:themeShade="BF"/>
      <w:sz w:val="28"/>
      <w:szCs w:val="28"/>
    </w:rPr>
  </w:style>
  <w:style w:type="paragraph" w:styleId="Listaszerbekezds">
    <w:name w:val="List Paragraph"/>
    <w:basedOn w:val="Norml"/>
    <w:uiPriority w:val="34"/>
    <w:qFormat/>
    <w:rsid w:val="00D4712D"/>
    <w:pPr>
      <w:ind w:left="720"/>
      <w:contextualSpacing/>
    </w:pPr>
  </w:style>
  <w:style w:type="table" w:styleId="Rcsostblzat">
    <w:name w:val="Table Grid"/>
    <w:basedOn w:val="Normltblzat"/>
    <w:uiPriority w:val="59"/>
    <w:rsid w:val="00D4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D47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0255">
      <w:bodyDiv w:val="1"/>
      <w:marLeft w:val="0"/>
      <w:marRight w:val="0"/>
      <w:marTop w:val="0"/>
      <w:marBottom w:val="0"/>
      <w:divBdr>
        <w:top w:val="none" w:sz="0" w:space="0" w:color="auto"/>
        <w:left w:val="none" w:sz="0" w:space="0" w:color="auto"/>
        <w:bottom w:val="none" w:sz="0" w:space="0" w:color="auto"/>
        <w:right w:val="none" w:sz="0" w:space="0" w:color="auto"/>
      </w:divBdr>
    </w:div>
    <w:div w:id="15941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ltan.cseh@katved.gov.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birosag.hu/ugyfelkapcsolati-portal/birosag-keres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rosag.hu/torvenyszekek" TargetMode="External"/><Relationship Id="rId5" Type="http://schemas.openxmlformats.org/officeDocument/2006/relationships/settings" Target="settings.xml"/><Relationship Id="rId10" Type="http://schemas.openxmlformats.org/officeDocument/2006/relationships/hyperlink" Target="http://www.naih.hu"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C587-6C2E-454B-AE41-C9D5E208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2076</Words>
  <Characters>14326</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Cseh Zoltán</dc:creator>
  <cp:lastModifiedBy>Dr. Cseh Zoltán</cp:lastModifiedBy>
  <cp:revision>14</cp:revision>
  <dcterms:created xsi:type="dcterms:W3CDTF">2020-01-21T12:28:00Z</dcterms:created>
  <dcterms:modified xsi:type="dcterms:W3CDTF">2020-11-24T11:23:00Z</dcterms:modified>
</cp:coreProperties>
</file>